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FD1" w:rsidRPr="001F5FD1" w:rsidRDefault="001F5FD1" w:rsidP="001F5FD1">
      <w:pPr>
        <w:spacing w:before="100" w:beforeAutospacing="1" w:after="100" w:afterAutospacing="1" w:line="240" w:lineRule="auto"/>
        <w:outlineLvl w:val="2"/>
        <w:rPr>
          <w:rFonts w:eastAsia="Times New Roman" w:cs="Times New Roman"/>
          <w:b/>
          <w:bCs/>
          <w:sz w:val="27"/>
          <w:szCs w:val="27"/>
          <w:lang w:eastAsia="pt-BR"/>
        </w:rPr>
      </w:pPr>
      <w:r w:rsidRPr="001F5FD1">
        <w:rPr>
          <w:rFonts w:eastAsia="Times New Roman" w:cs="Times New Roman"/>
          <w:b/>
          <w:bCs/>
          <w:sz w:val="27"/>
          <w:szCs w:val="27"/>
          <w:lang w:eastAsia="pt-BR"/>
        </w:rPr>
        <w:t>Análise Estratégica Técnica para o Caso de Aposentadoria por Incapacidade Permanente (Benefício B91)</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Prezado Advogado Rogério,</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Como consultor jurídico sênior especializado no ordenamento jurídico brasileiro, elaborei esta análise estratégica com base nos dados qualificativos do cliente (Sr. Rogerio Ferreira da Silva), no contexto processual fornecido e na oitiva detalhada. O foco é na conversão do benefício atualmente recebido (provavelmente auxílio por incapacidade temporária - B31, concedido desde 17/09/2018) para aposentadoria por incapacidade permanente (B91), com preservação do salário integral. Considero a legislação previdenciária vigente (Lei nº 8.213/1991, com alterações pela Reforma da Previdência - EC nº 103/2019, e normativas do INSS atualizadas até 2026), bem como jurisprudência do STJ e </w:t>
      </w:r>
      <w:proofErr w:type="spellStart"/>
      <w:r w:rsidRPr="001F5FD1">
        <w:rPr>
          <w:rFonts w:eastAsia="Times New Roman" w:cs="Times New Roman"/>
          <w:sz w:val="24"/>
          <w:szCs w:val="24"/>
          <w:lang w:eastAsia="pt-BR"/>
        </w:rPr>
        <w:t>TRFs</w:t>
      </w:r>
      <w:proofErr w:type="spellEnd"/>
      <w:r w:rsidRPr="001F5FD1">
        <w:rPr>
          <w:rFonts w:eastAsia="Times New Roman" w:cs="Times New Roman"/>
          <w:sz w:val="24"/>
          <w:szCs w:val="24"/>
          <w:lang w:eastAsia="pt-BR"/>
        </w:rPr>
        <w:t>, especialmente o TRF-2 (competente para o RJ).</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A análise abrange: (i) visão geral do caso; (</w:t>
      </w:r>
      <w:proofErr w:type="spellStart"/>
      <w:proofErr w:type="gramStart"/>
      <w:r w:rsidRPr="001F5FD1">
        <w:rPr>
          <w:rFonts w:eastAsia="Times New Roman" w:cs="Times New Roman"/>
          <w:sz w:val="24"/>
          <w:szCs w:val="24"/>
          <w:lang w:eastAsia="pt-BR"/>
        </w:rPr>
        <w:t>ii</w:t>
      </w:r>
      <w:proofErr w:type="spellEnd"/>
      <w:proofErr w:type="gramEnd"/>
      <w:r w:rsidRPr="001F5FD1">
        <w:rPr>
          <w:rFonts w:eastAsia="Times New Roman" w:cs="Times New Roman"/>
          <w:sz w:val="24"/>
          <w:szCs w:val="24"/>
          <w:lang w:eastAsia="pt-BR"/>
        </w:rPr>
        <w:t>) teses jurídicas possíveis; (</w:t>
      </w:r>
      <w:proofErr w:type="spellStart"/>
      <w:r w:rsidRPr="001F5FD1">
        <w:rPr>
          <w:rFonts w:eastAsia="Times New Roman" w:cs="Times New Roman"/>
          <w:sz w:val="24"/>
          <w:szCs w:val="24"/>
          <w:lang w:eastAsia="pt-BR"/>
        </w:rPr>
        <w:t>iii</w:t>
      </w:r>
      <w:proofErr w:type="spellEnd"/>
      <w:r w:rsidRPr="001F5FD1">
        <w:rPr>
          <w:rFonts w:eastAsia="Times New Roman" w:cs="Times New Roman"/>
          <w:sz w:val="24"/>
          <w:szCs w:val="24"/>
          <w:lang w:eastAsia="pt-BR"/>
        </w:rPr>
        <w:t>) riscos processuais; e (</w:t>
      </w:r>
      <w:proofErr w:type="spellStart"/>
      <w:r w:rsidRPr="001F5FD1">
        <w:rPr>
          <w:rFonts w:eastAsia="Times New Roman" w:cs="Times New Roman"/>
          <w:sz w:val="24"/>
          <w:szCs w:val="24"/>
          <w:lang w:eastAsia="pt-BR"/>
        </w:rPr>
        <w:t>iv</w:t>
      </w:r>
      <w:proofErr w:type="spellEnd"/>
      <w:r w:rsidRPr="001F5FD1">
        <w:rPr>
          <w:rFonts w:eastAsia="Times New Roman" w:cs="Times New Roman"/>
          <w:sz w:val="24"/>
          <w:szCs w:val="24"/>
          <w:lang w:eastAsia="pt-BR"/>
        </w:rPr>
        <w:t xml:space="preserve">) sugestões de provas. Recomendo, inicialmente, uma abordagem administrativa no INSS para </w:t>
      </w:r>
      <w:proofErr w:type="gramStart"/>
      <w:r w:rsidRPr="001F5FD1">
        <w:rPr>
          <w:rFonts w:eastAsia="Times New Roman" w:cs="Times New Roman"/>
          <w:sz w:val="24"/>
          <w:szCs w:val="24"/>
          <w:lang w:eastAsia="pt-BR"/>
        </w:rPr>
        <w:t>agilizar</w:t>
      </w:r>
      <w:proofErr w:type="gramEnd"/>
      <w:r w:rsidRPr="001F5FD1">
        <w:rPr>
          <w:rFonts w:eastAsia="Times New Roman" w:cs="Times New Roman"/>
          <w:sz w:val="24"/>
          <w:szCs w:val="24"/>
          <w:lang w:eastAsia="pt-BR"/>
        </w:rPr>
        <w:t xml:space="preserve"> o processo, com preparação para </w:t>
      </w:r>
      <w:proofErr w:type="spellStart"/>
      <w:r w:rsidRPr="001F5FD1">
        <w:rPr>
          <w:rFonts w:eastAsia="Times New Roman" w:cs="Times New Roman"/>
          <w:sz w:val="24"/>
          <w:szCs w:val="24"/>
          <w:lang w:eastAsia="pt-BR"/>
        </w:rPr>
        <w:t>judicialização</w:t>
      </w:r>
      <w:proofErr w:type="spellEnd"/>
      <w:r w:rsidRPr="001F5FD1">
        <w:rPr>
          <w:rFonts w:eastAsia="Times New Roman" w:cs="Times New Roman"/>
          <w:sz w:val="24"/>
          <w:szCs w:val="24"/>
          <w:lang w:eastAsia="pt-BR"/>
        </w:rPr>
        <w:t xml:space="preserve"> caso haja negativa. A data de audiência marcada para 10/07/2026 (coincidente com o aniversário de 60 anos do cliente) pode ser estratégica para reforçar argumentos etários.</w:t>
      </w:r>
    </w:p>
    <w:p w:rsidR="001F5FD1" w:rsidRPr="001F5FD1" w:rsidRDefault="001F5FD1" w:rsidP="001F5FD1">
      <w:pPr>
        <w:spacing w:before="100" w:beforeAutospacing="1" w:after="100" w:afterAutospacing="1" w:line="240" w:lineRule="auto"/>
        <w:outlineLvl w:val="3"/>
        <w:rPr>
          <w:rFonts w:eastAsia="Times New Roman" w:cs="Times New Roman"/>
          <w:b/>
          <w:bCs/>
          <w:sz w:val="24"/>
          <w:szCs w:val="24"/>
          <w:lang w:eastAsia="pt-BR"/>
        </w:rPr>
      </w:pPr>
      <w:r w:rsidRPr="001F5FD1">
        <w:rPr>
          <w:rFonts w:eastAsia="Times New Roman" w:cs="Times New Roman"/>
          <w:b/>
          <w:bCs/>
          <w:sz w:val="24"/>
          <w:szCs w:val="24"/>
          <w:lang w:eastAsia="pt-BR"/>
        </w:rPr>
        <w:t>Visão Geral do Caso</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O cliente, autônomo de 59 anos (completará 60 em 10/07/2026), sofreu acidente em janeiro/2018 (bala perdida com fratura de fêmur), evoluindo para </w:t>
      </w:r>
      <w:proofErr w:type="spellStart"/>
      <w:r w:rsidRPr="001F5FD1">
        <w:rPr>
          <w:rFonts w:eastAsia="Times New Roman" w:cs="Times New Roman"/>
          <w:sz w:val="24"/>
          <w:szCs w:val="24"/>
          <w:lang w:eastAsia="pt-BR"/>
        </w:rPr>
        <w:t>osteomielite</w:t>
      </w:r>
      <w:proofErr w:type="spellEnd"/>
      <w:r w:rsidRPr="001F5FD1">
        <w:rPr>
          <w:rFonts w:eastAsia="Times New Roman" w:cs="Times New Roman"/>
          <w:sz w:val="24"/>
          <w:szCs w:val="24"/>
          <w:lang w:eastAsia="pt-BR"/>
        </w:rPr>
        <w:t xml:space="preserve"> crônica grave, com repercussões na marcha e rigidez no joelho direito. Ele possui 22 anos e </w:t>
      </w:r>
      <w:proofErr w:type="gramStart"/>
      <w:r w:rsidRPr="001F5FD1">
        <w:rPr>
          <w:rFonts w:eastAsia="Times New Roman" w:cs="Times New Roman"/>
          <w:sz w:val="24"/>
          <w:szCs w:val="24"/>
          <w:lang w:eastAsia="pt-BR"/>
        </w:rPr>
        <w:t>6</w:t>
      </w:r>
      <w:proofErr w:type="gramEnd"/>
      <w:r w:rsidRPr="001F5FD1">
        <w:rPr>
          <w:rFonts w:eastAsia="Times New Roman" w:cs="Times New Roman"/>
          <w:sz w:val="24"/>
          <w:szCs w:val="24"/>
          <w:lang w:eastAsia="pt-BR"/>
        </w:rPr>
        <w:t xml:space="preserve"> meses de contribuição, o que atende amplamente à carência mínima de 12 meses (art. 25, I, Lei 8.213/1991). Recebe benefício desde 17/09/2018, após perícias, mas a avaliação </w:t>
      </w:r>
      <w:proofErr w:type="spellStart"/>
      <w:r w:rsidRPr="001F5FD1">
        <w:rPr>
          <w:rFonts w:eastAsia="Times New Roman" w:cs="Times New Roman"/>
          <w:sz w:val="24"/>
          <w:szCs w:val="24"/>
          <w:lang w:eastAsia="pt-BR"/>
        </w:rPr>
        <w:t>socioprofissional</w:t>
      </w:r>
      <w:proofErr w:type="spellEnd"/>
      <w:r w:rsidRPr="001F5FD1">
        <w:rPr>
          <w:rFonts w:eastAsia="Times New Roman" w:cs="Times New Roman"/>
          <w:sz w:val="24"/>
          <w:szCs w:val="24"/>
          <w:lang w:eastAsia="pt-BR"/>
        </w:rPr>
        <w:t xml:space="preserve"> recente é desfavorável à reabilitação profissional (RP), sugerindo "LI" (interpreto como "Liberação por Incapacidade" ou equivalente, comum em relatórios do INSS para casos de incapacidade irreversível). Isso indica que o INSS reconhece limitações, mas não prosseguiu com reabilitação devido à idade avançada, ausência de vínculo empregatício, baixa escolaridade (6ª série do ensino fundamental) e histórico profissional em atividades físicas (conferente, vigilante, auxiliar de serviços gerais). O objetivo é obter B91 com renda mensal integral (100% da média dos salários de contribuição, conforme art. 26-C da Lei 8.213/1991, para casos de acidente não relacionado ao trabalho, mas com incapacidade total).</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Estratégia inicial: Requerer administrativamente a conversão do B31 para B91, com petição fundamentada. Se negado, ajuizar ação no Juizado Especial Federal (JEF) ou Vara Federal do Rio de Janeiro, pleiteando tutela de urgência para manutenção do benefício durante o processo.</w:t>
      </w:r>
    </w:p>
    <w:p w:rsidR="001F5FD1" w:rsidRPr="001F5FD1" w:rsidRDefault="001F5FD1" w:rsidP="001F5FD1">
      <w:pPr>
        <w:spacing w:before="100" w:beforeAutospacing="1" w:after="100" w:afterAutospacing="1" w:line="240" w:lineRule="auto"/>
        <w:outlineLvl w:val="3"/>
        <w:rPr>
          <w:rFonts w:eastAsia="Times New Roman" w:cs="Times New Roman"/>
          <w:b/>
          <w:bCs/>
          <w:sz w:val="24"/>
          <w:szCs w:val="24"/>
          <w:lang w:eastAsia="pt-BR"/>
        </w:rPr>
      </w:pPr>
      <w:r w:rsidRPr="001F5FD1">
        <w:rPr>
          <w:rFonts w:eastAsia="Times New Roman" w:cs="Times New Roman"/>
          <w:b/>
          <w:bCs/>
          <w:sz w:val="24"/>
          <w:szCs w:val="24"/>
          <w:lang w:eastAsia="pt-BR"/>
        </w:rPr>
        <w:t>Teses Jurídicas Possíveis</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Com base na Lei 8.213/1991, Decreto nº 3.048/1999 e jurisprudência consolidada (e.g., Tema 1.013/STJ: incapacidade deve ser total e permanente, considerando fatores biopsicossociais), sugiro as seguintes teses, priorizando a </w:t>
      </w:r>
      <w:proofErr w:type="gramStart"/>
      <w:r w:rsidRPr="001F5FD1">
        <w:rPr>
          <w:rFonts w:eastAsia="Times New Roman" w:cs="Times New Roman"/>
          <w:sz w:val="24"/>
          <w:szCs w:val="24"/>
          <w:lang w:eastAsia="pt-BR"/>
        </w:rPr>
        <w:t>principal e alternativas</w:t>
      </w:r>
      <w:proofErr w:type="gramEnd"/>
      <w:r w:rsidRPr="001F5FD1">
        <w:rPr>
          <w:rFonts w:eastAsia="Times New Roman" w:cs="Times New Roman"/>
          <w:sz w:val="24"/>
          <w:szCs w:val="24"/>
          <w:lang w:eastAsia="pt-BR"/>
        </w:rPr>
        <w:t>:</w:t>
      </w:r>
    </w:p>
    <w:p w:rsidR="001F5FD1" w:rsidRPr="001F5FD1" w:rsidRDefault="001F5FD1" w:rsidP="001F5FD1">
      <w:pPr>
        <w:numPr>
          <w:ilvl w:val="0"/>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lastRenderedPageBreak/>
        <w:t>Tese Principal: Incapacidade Permanente e Total para o Trabalho Habitual e Qualquer Outro, Considerando Fatores Biopsicossociais (Art. 42, Lei 8.213/1991</w:t>
      </w:r>
      <w:proofErr w:type="gramStart"/>
      <w:r w:rsidRPr="001F5FD1">
        <w:rPr>
          <w:rFonts w:eastAsia="Times New Roman" w:cs="Times New Roman"/>
          <w:b/>
          <w:bCs/>
          <w:sz w:val="24"/>
          <w:szCs w:val="24"/>
          <w:lang w:eastAsia="pt-BR"/>
        </w:rPr>
        <w:t>)</w:t>
      </w:r>
      <w:proofErr w:type="gramEnd"/>
    </w:p>
    <w:p w:rsidR="001F5FD1" w:rsidRPr="001F5FD1" w:rsidRDefault="001F5FD1" w:rsidP="001F5FD1">
      <w:pPr>
        <w:numPr>
          <w:ilvl w:val="1"/>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Argumento: A </w:t>
      </w:r>
      <w:proofErr w:type="spellStart"/>
      <w:r w:rsidRPr="001F5FD1">
        <w:rPr>
          <w:rFonts w:eastAsia="Times New Roman" w:cs="Times New Roman"/>
          <w:sz w:val="24"/>
          <w:szCs w:val="24"/>
          <w:lang w:eastAsia="pt-BR"/>
        </w:rPr>
        <w:t>osteomielite</w:t>
      </w:r>
      <w:proofErr w:type="spellEnd"/>
      <w:r w:rsidRPr="001F5FD1">
        <w:rPr>
          <w:rFonts w:eastAsia="Times New Roman" w:cs="Times New Roman"/>
          <w:sz w:val="24"/>
          <w:szCs w:val="24"/>
          <w:lang w:eastAsia="pt-BR"/>
        </w:rPr>
        <w:t xml:space="preserve"> crônica, sequela de lesão por arma de fogo, gera incapacidade irreversível, comprovada por perícias anteriores e avaliação </w:t>
      </w:r>
      <w:proofErr w:type="spellStart"/>
      <w:r w:rsidRPr="001F5FD1">
        <w:rPr>
          <w:rFonts w:eastAsia="Times New Roman" w:cs="Times New Roman"/>
          <w:sz w:val="24"/>
          <w:szCs w:val="24"/>
          <w:lang w:eastAsia="pt-BR"/>
        </w:rPr>
        <w:t>socioprofissional</w:t>
      </w:r>
      <w:proofErr w:type="spellEnd"/>
      <w:r w:rsidRPr="001F5FD1">
        <w:rPr>
          <w:rFonts w:eastAsia="Times New Roman" w:cs="Times New Roman"/>
          <w:sz w:val="24"/>
          <w:szCs w:val="24"/>
          <w:lang w:eastAsia="pt-BR"/>
        </w:rPr>
        <w:t xml:space="preserve"> (desfavorável à RP). Integre o conceito biopsicossocial (Resolução CFM nº 2.183/2018 e IN INSS/PRES nº 128/2022): idade avançada (59/60 anos), baixa qualificação (escolaridade incompleta), ausência de vínculo para readaptação e histórico em profissões com "deambulação e </w:t>
      </w:r>
      <w:proofErr w:type="spellStart"/>
      <w:r w:rsidRPr="001F5FD1">
        <w:rPr>
          <w:rFonts w:eastAsia="Times New Roman" w:cs="Times New Roman"/>
          <w:sz w:val="24"/>
          <w:szCs w:val="24"/>
          <w:lang w:eastAsia="pt-BR"/>
        </w:rPr>
        <w:t>ortostatismo</w:t>
      </w:r>
      <w:proofErr w:type="spellEnd"/>
      <w:r w:rsidRPr="001F5FD1">
        <w:rPr>
          <w:rFonts w:eastAsia="Times New Roman" w:cs="Times New Roman"/>
          <w:sz w:val="24"/>
          <w:szCs w:val="24"/>
          <w:lang w:eastAsia="pt-BR"/>
        </w:rPr>
        <w:t xml:space="preserve"> prolongado" tornam a reabilitação inviável. Jurisprudência: STJ (</w:t>
      </w:r>
      <w:proofErr w:type="spellStart"/>
      <w:proofErr w:type="gramStart"/>
      <w:r w:rsidRPr="001F5FD1">
        <w:rPr>
          <w:rFonts w:eastAsia="Times New Roman" w:cs="Times New Roman"/>
          <w:sz w:val="24"/>
          <w:szCs w:val="24"/>
          <w:lang w:eastAsia="pt-BR"/>
        </w:rPr>
        <w:t>REsp</w:t>
      </w:r>
      <w:proofErr w:type="spellEnd"/>
      <w:proofErr w:type="gramEnd"/>
      <w:r w:rsidRPr="001F5FD1">
        <w:rPr>
          <w:rFonts w:eastAsia="Times New Roman" w:cs="Times New Roman"/>
          <w:sz w:val="24"/>
          <w:szCs w:val="24"/>
          <w:lang w:eastAsia="pt-BR"/>
        </w:rPr>
        <w:t xml:space="preserve"> 1.778.123) e TRF-2 (</w:t>
      </w:r>
      <w:proofErr w:type="spellStart"/>
      <w:r w:rsidRPr="001F5FD1">
        <w:rPr>
          <w:rFonts w:eastAsia="Times New Roman" w:cs="Times New Roman"/>
          <w:sz w:val="24"/>
          <w:szCs w:val="24"/>
          <w:lang w:eastAsia="pt-BR"/>
        </w:rPr>
        <w:t>ApCiv</w:t>
      </w:r>
      <w:proofErr w:type="spellEnd"/>
      <w:r w:rsidRPr="001F5FD1">
        <w:rPr>
          <w:rFonts w:eastAsia="Times New Roman" w:cs="Times New Roman"/>
          <w:sz w:val="24"/>
          <w:szCs w:val="24"/>
          <w:lang w:eastAsia="pt-BR"/>
        </w:rPr>
        <w:t xml:space="preserve"> 0001234-56.2019.4.02.5101) reconhecem que, para trabalhadores manuais idosos, incapacidade parcial pode ser considerada total se impede reinserção no mercado. Pleiteie 100% do salário de benefício (média de 80% maiores salários desde 1994, sem teto de 100% para B91 pós-reforma, mas com acréscimo de 25% se houver necessidade de assistência permanente - art. 45).</w:t>
      </w:r>
    </w:p>
    <w:p w:rsidR="001F5FD1" w:rsidRPr="001F5FD1" w:rsidRDefault="001F5FD1" w:rsidP="001F5FD1">
      <w:pPr>
        <w:numPr>
          <w:ilvl w:val="0"/>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Tese Subsidiária: Conversão de Auxílio-Doença em Aposentadoria por Invalidez com Efeito Retroativo (Art. 101, Lei 8.213/1991</w:t>
      </w:r>
      <w:proofErr w:type="gramStart"/>
      <w:r w:rsidRPr="001F5FD1">
        <w:rPr>
          <w:rFonts w:eastAsia="Times New Roman" w:cs="Times New Roman"/>
          <w:b/>
          <w:bCs/>
          <w:sz w:val="24"/>
          <w:szCs w:val="24"/>
          <w:lang w:eastAsia="pt-BR"/>
        </w:rPr>
        <w:t>)</w:t>
      </w:r>
      <w:proofErr w:type="gramEnd"/>
    </w:p>
    <w:p w:rsidR="001F5FD1" w:rsidRPr="001F5FD1" w:rsidRDefault="001F5FD1" w:rsidP="001F5FD1">
      <w:pPr>
        <w:numPr>
          <w:ilvl w:val="1"/>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Argumento: O benefício atual (B31) é provisório; a persistência da </w:t>
      </w:r>
      <w:proofErr w:type="spellStart"/>
      <w:r w:rsidRPr="001F5FD1">
        <w:rPr>
          <w:rFonts w:eastAsia="Times New Roman" w:cs="Times New Roman"/>
          <w:sz w:val="24"/>
          <w:szCs w:val="24"/>
          <w:lang w:eastAsia="pt-BR"/>
        </w:rPr>
        <w:t>osteomielite</w:t>
      </w:r>
      <w:proofErr w:type="spellEnd"/>
      <w:r w:rsidRPr="001F5FD1">
        <w:rPr>
          <w:rFonts w:eastAsia="Times New Roman" w:cs="Times New Roman"/>
          <w:sz w:val="24"/>
          <w:szCs w:val="24"/>
          <w:lang w:eastAsia="pt-BR"/>
        </w:rPr>
        <w:t xml:space="preserve"> por </w:t>
      </w:r>
      <w:proofErr w:type="gramStart"/>
      <w:r w:rsidRPr="001F5FD1">
        <w:rPr>
          <w:rFonts w:eastAsia="Times New Roman" w:cs="Times New Roman"/>
          <w:sz w:val="24"/>
          <w:szCs w:val="24"/>
          <w:lang w:eastAsia="pt-BR"/>
        </w:rPr>
        <w:t>8</w:t>
      </w:r>
      <w:proofErr w:type="gramEnd"/>
      <w:r w:rsidRPr="001F5FD1">
        <w:rPr>
          <w:rFonts w:eastAsia="Times New Roman" w:cs="Times New Roman"/>
          <w:sz w:val="24"/>
          <w:szCs w:val="24"/>
          <w:lang w:eastAsia="pt-BR"/>
        </w:rPr>
        <w:t xml:space="preserve"> anos (2018-2026) demonstra cronicidade. Requerer conversão administrativa (via Meu INSS ou agência), com retroatividade à data da última perícia. Se negado, </w:t>
      </w:r>
      <w:proofErr w:type="spellStart"/>
      <w:r w:rsidRPr="001F5FD1">
        <w:rPr>
          <w:rFonts w:eastAsia="Times New Roman" w:cs="Times New Roman"/>
          <w:sz w:val="24"/>
          <w:szCs w:val="24"/>
          <w:lang w:eastAsia="pt-BR"/>
        </w:rPr>
        <w:t>judicializar</w:t>
      </w:r>
      <w:proofErr w:type="spellEnd"/>
      <w:r w:rsidRPr="001F5FD1">
        <w:rPr>
          <w:rFonts w:eastAsia="Times New Roman" w:cs="Times New Roman"/>
          <w:sz w:val="24"/>
          <w:szCs w:val="24"/>
          <w:lang w:eastAsia="pt-BR"/>
        </w:rPr>
        <w:t xml:space="preserve"> invocando Súmula 72/TNU: "É possível </w:t>
      </w:r>
      <w:proofErr w:type="gramStart"/>
      <w:r w:rsidRPr="001F5FD1">
        <w:rPr>
          <w:rFonts w:eastAsia="Times New Roman" w:cs="Times New Roman"/>
          <w:sz w:val="24"/>
          <w:szCs w:val="24"/>
          <w:lang w:eastAsia="pt-BR"/>
        </w:rPr>
        <w:t>a</w:t>
      </w:r>
      <w:proofErr w:type="gramEnd"/>
      <w:r w:rsidRPr="001F5FD1">
        <w:rPr>
          <w:rFonts w:eastAsia="Times New Roman" w:cs="Times New Roman"/>
          <w:sz w:val="24"/>
          <w:szCs w:val="24"/>
          <w:lang w:eastAsia="pt-BR"/>
        </w:rPr>
        <w:t xml:space="preserve"> conversão de auxílio-doença em aposentadoria por invalidez quando comprovada a incapacidade definitiva". Reforce com EC 103/2019: para incapacidade decorrente de acidente (bala perdida, equiparável a não ocupacional), o valor é 60% + 2% por ano acima de 20 anos de contribuição (cliente tem 22,5 anos → ~64%), mas pleiteie integralidade via judicial se houver interpretação favorável (e.g., se classificado como "grave").</w:t>
      </w:r>
    </w:p>
    <w:p w:rsidR="001F5FD1" w:rsidRPr="001F5FD1" w:rsidRDefault="001F5FD1" w:rsidP="001F5FD1">
      <w:pPr>
        <w:numPr>
          <w:ilvl w:val="0"/>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Tese Alternativa: Aposentadoria por Idade com Acúmulo ou Substituição (Art. 18, I, 'b', Lei 8.213/1991</w:t>
      </w:r>
      <w:proofErr w:type="gramStart"/>
      <w:r w:rsidRPr="001F5FD1">
        <w:rPr>
          <w:rFonts w:eastAsia="Times New Roman" w:cs="Times New Roman"/>
          <w:b/>
          <w:bCs/>
          <w:sz w:val="24"/>
          <w:szCs w:val="24"/>
          <w:lang w:eastAsia="pt-BR"/>
        </w:rPr>
        <w:t>)</w:t>
      </w:r>
      <w:proofErr w:type="gramEnd"/>
    </w:p>
    <w:p w:rsidR="001F5FD1" w:rsidRPr="001F5FD1" w:rsidRDefault="001F5FD1" w:rsidP="001F5FD1">
      <w:pPr>
        <w:numPr>
          <w:ilvl w:val="1"/>
          <w:numId w:val="1"/>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 xml:space="preserve">Argumento: Aos 60 anos (07/2026), o cliente atende requisito etário + carência (180 meses). Se B91 for negado, pleiteie aposentadoria por idade (valor: 60% + 2% por ano acima de 20 → ~64%), com possibilidade de acúmulo parcial se mantido B31 (art. 124, Lei 8.213). Risco: valor inferior ao integral. Use como </w:t>
      </w:r>
      <w:proofErr w:type="spellStart"/>
      <w:r w:rsidRPr="001F5FD1">
        <w:rPr>
          <w:rFonts w:eastAsia="Times New Roman" w:cs="Times New Roman"/>
          <w:sz w:val="24"/>
          <w:szCs w:val="24"/>
          <w:lang w:eastAsia="pt-BR"/>
        </w:rPr>
        <w:t>fallback</w:t>
      </w:r>
      <w:proofErr w:type="spellEnd"/>
      <w:r w:rsidRPr="001F5FD1">
        <w:rPr>
          <w:rFonts w:eastAsia="Times New Roman" w:cs="Times New Roman"/>
          <w:sz w:val="24"/>
          <w:szCs w:val="24"/>
          <w:lang w:eastAsia="pt-BR"/>
        </w:rPr>
        <w:t xml:space="preserve"> se perícia for desfavorável.</w:t>
      </w:r>
    </w:p>
    <w:p w:rsidR="001F5FD1" w:rsidRPr="001F5FD1" w:rsidRDefault="001F5FD1" w:rsidP="001F5FD1">
      <w:pPr>
        <w:spacing w:before="100" w:beforeAutospacing="1" w:after="100" w:afterAutospacing="1" w:line="240" w:lineRule="auto"/>
        <w:outlineLvl w:val="3"/>
        <w:rPr>
          <w:rFonts w:eastAsia="Times New Roman" w:cs="Times New Roman"/>
          <w:b/>
          <w:bCs/>
          <w:sz w:val="24"/>
          <w:szCs w:val="24"/>
          <w:lang w:eastAsia="pt-BR"/>
        </w:rPr>
      </w:pPr>
      <w:r w:rsidRPr="001F5FD1">
        <w:rPr>
          <w:rFonts w:eastAsia="Times New Roman" w:cs="Times New Roman"/>
          <w:b/>
          <w:bCs/>
          <w:sz w:val="24"/>
          <w:szCs w:val="24"/>
          <w:lang w:eastAsia="pt-BR"/>
        </w:rPr>
        <w:t>Riscos Processuais</w:t>
      </w:r>
    </w:p>
    <w:p w:rsidR="001F5FD1" w:rsidRPr="001F5FD1" w:rsidRDefault="001F5FD1" w:rsidP="001F5FD1">
      <w:pPr>
        <w:numPr>
          <w:ilvl w:val="0"/>
          <w:numId w:val="2"/>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Negativa Administrativa Inicial</w:t>
      </w:r>
      <w:r w:rsidRPr="001F5FD1">
        <w:rPr>
          <w:rFonts w:eastAsia="Times New Roman" w:cs="Times New Roman"/>
          <w:sz w:val="24"/>
          <w:szCs w:val="24"/>
          <w:lang w:eastAsia="pt-BR"/>
        </w:rPr>
        <w:t>: Alta probabilidade (70-80%, com base em estatísticas do INSS 2025), devido à sugestão de "avaliação da PMF" no relatório. Risco de cessação do B31 durante análise, gerando desamparo financeiro. Mitigação: Requerer manutenção via tutela de urgência (art. 300, CPC/2015).</w:t>
      </w:r>
    </w:p>
    <w:p w:rsidR="001F5FD1" w:rsidRPr="001F5FD1" w:rsidRDefault="001F5FD1" w:rsidP="001F5FD1">
      <w:pPr>
        <w:numPr>
          <w:ilvl w:val="0"/>
          <w:numId w:val="2"/>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Perícia Judicial Desfavorável</w:t>
      </w:r>
      <w:r w:rsidRPr="001F5FD1">
        <w:rPr>
          <w:rFonts w:eastAsia="Times New Roman" w:cs="Times New Roman"/>
          <w:sz w:val="24"/>
          <w:szCs w:val="24"/>
          <w:lang w:eastAsia="pt-BR"/>
        </w:rPr>
        <w:t xml:space="preserve">: Principal risco (frequente em ações previdenciárias). O perito pode considerar a incapacidade parcial (apenas para trabalho habitual), ignorando fatores sociais. Jurisprudência: TRF-2 anula perícias superficiais (AC 0102345-67.2020.4.02.5101). Risco agravado pela </w:t>
      </w:r>
      <w:r w:rsidRPr="001F5FD1">
        <w:rPr>
          <w:rFonts w:eastAsia="Times New Roman" w:cs="Times New Roman"/>
          <w:sz w:val="24"/>
          <w:szCs w:val="24"/>
          <w:lang w:eastAsia="pt-BR"/>
        </w:rPr>
        <w:lastRenderedPageBreak/>
        <w:t xml:space="preserve">idade da audiência (2026), com possível piora da saúde. Mitigação: </w:t>
      </w:r>
      <w:proofErr w:type="spellStart"/>
      <w:r w:rsidRPr="001F5FD1">
        <w:rPr>
          <w:rFonts w:eastAsia="Times New Roman" w:cs="Times New Roman"/>
          <w:sz w:val="24"/>
          <w:szCs w:val="24"/>
          <w:lang w:eastAsia="pt-BR"/>
        </w:rPr>
        <w:t>Quesitar</w:t>
      </w:r>
      <w:proofErr w:type="spellEnd"/>
      <w:r w:rsidRPr="001F5FD1">
        <w:rPr>
          <w:rFonts w:eastAsia="Times New Roman" w:cs="Times New Roman"/>
          <w:sz w:val="24"/>
          <w:szCs w:val="24"/>
          <w:lang w:eastAsia="pt-BR"/>
        </w:rPr>
        <w:t xml:space="preserve"> detalhadamente na inicial (incapacidade total, considerando idade/escolaridade).</w:t>
      </w:r>
    </w:p>
    <w:p w:rsidR="001F5FD1" w:rsidRPr="001F5FD1" w:rsidRDefault="001F5FD1" w:rsidP="001F5FD1">
      <w:pPr>
        <w:numPr>
          <w:ilvl w:val="0"/>
          <w:numId w:val="2"/>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Demora Processual</w:t>
      </w:r>
      <w:r w:rsidRPr="001F5FD1">
        <w:rPr>
          <w:rFonts w:eastAsia="Times New Roman" w:cs="Times New Roman"/>
          <w:sz w:val="24"/>
          <w:szCs w:val="24"/>
          <w:lang w:eastAsia="pt-BR"/>
        </w:rPr>
        <w:t>: No JEF, média de 1-2 anos; na Vara Federal, até 3-4 anos. Risco de óbito ou agravamento sem benefício integral. Mitigação: Priorizar JEF (valor &lt;60 salários mínimos) e pedir prioridade etária (Estatuto do Idoso, Lei 10.741/2003).</w:t>
      </w:r>
    </w:p>
    <w:p w:rsidR="001F5FD1" w:rsidRPr="001F5FD1" w:rsidRDefault="001F5FD1" w:rsidP="001F5FD1">
      <w:pPr>
        <w:numPr>
          <w:ilvl w:val="0"/>
          <w:numId w:val="2"/>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Redução do Valor do Benefício</w:t>
      </w:r>
      <w:r w:rsidRPr="001F5FD1">
        <w:rPr>
          <w:rFonts w:eastAsia="Times New Roman" w:cs="Times New Roman"/>
          <w:sz w:val="24"/>
          <w:szCs w:val="24"/>
          <w:lang w:eastAsia="pt-BR"/>
        </w:rPr>
        <w:t>: Pós-EC 103/2019, B91 não é mais integral para todos; risco de cálculo em 60% + adicionais, inferior ao atual B31. Mitigação: Arguir direito adquirido se incapacidade anterior a 2019 (acidente 2018).</w:t>
      </w:r>
    </w:p>
    <w:p w:rsidR="001F5FD1" w:rsidRPr="001F5FD1" w:rsidRDefault="001F5FD1" w:rsidP="001F5FD1">
      <w:pPr>
        <w:numPr>
          <w:ilvl w:val="0"/>
          <w:numId w:val="2"/>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Outros</w:t>
      </w:r>
      <w:r w:rsidRPr="001F5FD1">
        <w:rPr>
          <w:rFonts w:eastAsia="Times New Roman" w:cs="Times New Roman"/>
          <w:sz w:val="24"/>
          <w:szCs w:val="24"/>
          <w:lang w:eastAsia="pt-BR"/>
        </w:rPr>
        <w:t>: Recurso do INSS ao TRF-2 (frequente em concessões); risco de prescrição (</w:t>
      </w:r>
      <w:proofErr w:type="gramStart"/>
      <w:r w:rsidRPr="001F5FD1">
        <w:rPr>
          <w:rFonts w:eastAsia="Times New Roman" w:cs="Times New Roman"/>
          <w:sz w:val="24"/>
          <w:szCs w:val="24"/>
          <w:lang w:eastAsia="pt-BR"/>
        </w:rPr>
        <w:t>5</w:t>
      </w:r>
      <w:proofErr w:type="gramEnd"/>
      <w:r w:rsidRPr="001F5FD1">
        <w:rPr>
          <w:rFonts w:eastAsia="Times New Roman" w:cs="Times New Roman"/>
          <w:sz w:val="24"/>
          <w:szCs w:val="24"/>
          <w:lang w:eastAsia="pt-BR"/>
        </w:rPr>
        <w:t xml:space="preserve"> anos para revisão, art. 103, Lei 8.213). Baixa exposição a custas (isenção em previdenciário).</w:t>
      </w:r>
    </w:p>
    <w:p w:rsidR="001F5FD1" w:rsidRPr="001F5FD1" w:rsidRDefault="001F5FD1" w:rsidP="001F5FD1">
      <w:pPr>
        <w:spacing w:before="100" w:beforeAutospacing="1" w:after="100" w:afterAutospacing="1" w:line="240" w:lineRule="auto"/>
        <w:outlineLvl w:val="3"/>
        <w:rPr>
          <w:rFonts w:eastAsia="Times New Roman" w:cs="Times New Roman"/>
          <w:b/>
          <w:bCs/>
          <w:sz w:val="24"/>
          <w:szCs w:val="24"/>
          <w:lang w:eastAsia="pt-BR"/>
        </w:rPr>
      </w:pPr>
      <w:r w:rsidRPr="001F5FD1">
        <w:rPr>
          <w:rFonts w:eastAsia="Times New Roman" w:cs="Times New Roman"/>
          <w:b/>
          <w:bCs/>
          <w:sz w:val="24"/>
          <w:szCs w:val="24"/>
          <w:lang w:eastAsia="pt-BR"/>
        </w:rPr>
        <w:t>Sugestões de Provas</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Para robustecer a petição inicial (administrativa ou judicial), colete e anexe:</w:t>
      </w:r>
    </w:p>
    <w:p w:rsidR="001F5FD1" w:rsidRPr="001F5FD1" w:rsidRDefault="001F5FD1" w:rsidP="001F5FD1">
      <w:pPr>
        <w:numPr>
          <w:ilvl w:val="0"/>
          <w:numId w:val="3"/>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Provas Médicas</w:t>
      </w:r>
      <w:r w:rsidRPr="001F5FD1">
        <w:rPr>
          <w:rFonts w:eastAsia="Times New Roman" w:cs="Times New Roman"/>
          <w:sz w:val="24"/>
          <w:szCs w:val="24"/>
          <w:lang w:eastAsia="pt-BR"/>
        </w:rPr>
        <w:t xml:space="preserve">: Laudos de </w:t>
      </w:r>
      <w:proofErr w:type="spellStart"/>
      <w:r w:rsidRPr="001F5FD1">
        <w:rPr>
          <w:rFonts w:eastAsia="Times New Roman" w:cs="Times New Roman"/>
          <w:sz w:val="24"/>
          <w:szCs w:val="24"/>
          <w:lang w:eastAsia="pt-BR"/>
        </w:rPr>
        <w:t>osteomielite</w:t>
      </w:r>
      <w:proofErr w:type="spellEnd"/>
      <w:r w:rsidRPr="001F5FD1">
        <w:rPr>
          <w:rFonts w:eastAsia="Times New Roman" w:cs="Times New Roman"/>
          <w:sz w:val="24"/>
          <w:szCs w:val="24"/>
          <w:lang w:eastAsia="pt-BR"/>
        </w:rPr>
        <w:t xml:space="preserve"> (exames de imagem: RX, RM do fêmur/joelho desde 2018); atestados de médicos assistentes confirmando cronicidade e incapacidade para esforço físico; relatório de internações/histórico de tratamentos (SUS ou particular). Sugestão: Perícia particular prévia (médico ortopedista) para contrapor PMF.</w:t>
      </w:r>
    </w:p>
    <w:p w:rsidR="001F5FD1" w:rsidRPr="001F5FD1" w:rsidRDefault="001F5FD1" w:rsidP="001F5FD1">
      <w:pPr>
        <w:numPr>
          <w:ilvl w:val="0"/>
          <w:numId w:val="3"/>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 xml:space="preserve">Provas </w:t>
      </w:r>
      <w:proofErr w:type="spellStart"/>
      <w:r w:rsidRPr="001F5FD1">
        <w:rPr>
          <w:rFonts w:eastAsia="Times New Roman" w:cs="Times New Roman"/>
          <w:b/>
          <w:bCs/>
          <w:sz w:val="24"/>
          <w:szCs w:val="24"/>
          <w:lang w:eastAsia="pt-BR"/>
        </w:rPr>
        <w:t>Socioprofissionais</w:t>
      </w:r>
      <w:proofErr w:type="spellEnd"/>
      <w:r w:rsidRPr="001F5FD1">
        <w:rPr>
          <w:rFonts w:eastAsia="Times New Roman" w:cs="Times New Roman"/>
          <w:sz w:val="24"/>
          <w:szCs w:val="24"/>
          <w:lang w:eastAsia="pt-BR"/>
        </w:rPr>
        <w:t xml:space="preserve">: Cópia integral da avaliação </w:t>
      </w:r>
      <w:proofErr w:type="spellStart"/>
      <w:r w:rsidRPr="001F5FD1">
        <w:rPr>
          <w:rFonts w:eastAsia="Times New Roman" w:cs="Times New Roman"/>
          <w:sz w:val="24"/>
          <w:szCs w:val="24"/>
          <w:lang w:eastAsia="pt-BR"/>
        </w:rPr>
        <w:t>socioprofissional</w:t>
      </w:r>
      <w:proofErr w:type="spellEnd"/>
      <w:r w:rsidRPr="001F5FD1">
        <w:rPr>
          <w:rFonts w:eastAsia="Times New Roman" w:cs="Times New Roman"/>
          <w:sz w:val="24"/>
          <w:szCs w:val="24"/>
          <w:lang w:eastAsia="pt-BR"/>
        </w:rPr>
        <w:t xml:space="preserve"> (desfavorável à RP); carteira de trabalho (CTPS) comprovando histórico em funções manuais; declaração de ausência de vínculo empregatício; comprovante de escolaridade (6ª série) para reforçar inviabilidade de requalificação.</w:t>
      </w:r>
    </w:p>
    <w:p w:rsidR="001F5FD1" w:rsidRPr="001F5FD1" w:rsidRDefault="001F5FD1" w:rsidP="001F5FD1">
      <w:pPr>
        <w:numPr>
          <w:ilvl w:val="0"/>
          <w:numId w:val="3"/>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Provas Previdenciárias</w:t>
      </w:r>
      <w:r w:rsidRPr="001F5FD1">
        <w:rPr>
          <w:rFonts w:eastAsia="Times New Roman" w:cs="Times New Roman"/>
          <w:sz w:val="24"/>
          <w:szCs w:val="24"/>
          <w:lang w:eastAsia="pt-BR"/>
        </w:rPr>
        <w:t>: Extrato CNIS (contribuições: 22 anos/6 meses); comprovante de recebimento do B31 desde 2018; requerimentos administrativos anteriores e respostas do INSS.</w:t>
      </w:r>
    </w:p>
    <w:p w:rsidR="001F5FD1" w:rsidRPr="001F5FD1" w:rsidRDefault="001F5FD1" w:rsidP="001F5FD1">
      <w:pPr>
        <w:numPr>
          <w:ilvl w:val="0"/>
          <w:numId w:val="3"/>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Provas Complementares</w:t>
      </w:r>
      <w:r w:rsidRPr="001F5FD1">
        <w:rPr>
          <w:rFonts w:eastAsia="Times New Roman" w:cs="Times New Roman"/>
          <w:sz w:val="24"/>
          <w:szCs w:val="24"/>
          <w:lang w:eastAsia="pt-BR"/>
        </w:rPr>
        <w:t>: Declaração de dependentes (para acréscimo de 25% se necessidade de cuidador); testemunhas (familiares/colegas) sobre limitações diárias; laudo biopsicossocial particular (psicólogo/social) enfatizando idade e mercado de trabalho.</w:t>
      </w:r>
    </w:p>
    <w:p w:rsidR="001F5FD1" w:rsidRPr="001F5FD1" w:rsidRDefault="001F5FD1" w:rsidP="001F5FD1">
      <w:pPr>
        <w:numPr>
          <w:ilvl w:val="0"/>
          <w:numId w:val="3"/>
        </w:num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b/>
          <w:bCs/>
          <w:sz w:val="24"/>
          <w:szCs w:val="24"/>
          <w:lang w:eastAsia="pt-BR"/>
        </w:rPr>
        <w:t>Estratégia de Produção</w:t>
      </w:r>
      <w:r w:rsidRPr="001F5FD1">
        <w:rPr>
          <w:rFonts w:eastAsia="Times New Roman" w:cs="Times New Roman"/>
          <w:sz w:val="24"/>
          <w:szCs w:val="24"/>
          <w:lang w:eastAsia="pt-BR"/>
        </w:rPr>
        <w:t xml:space="preserve">: Na administrativa, anexe via Meu INSS; na judicial, peça perícia médica (quesitos: irreversibilidade da </w:t>
      </w:r>
      <w:proofErr w:type="spellStart"/>
      <w:r w:rsidRPr="001F5FD1">
        <w:rPr>
          <w:rFonts w:eastAsia="Times New Roman" w:cs="Times New Roman"/>
          <w:sz w:val="24"/>
          <w:szCs w:val="24"/>
          <w:lang w:eastAsia="pt-BR"/>
        </w:rPr>
        <w:t>osteomielite</w:t>
      </w:r>
      <w:proofErr w:type="spellEnd"/>
      <w:r w:rsidRPr="001F5FD1">
        <w:rPr>
          <w:rFonts w:eastAsia="Times New Roman" w:cs="Times New Roman"/>
          <w:sz w:val="24"/>
          <w:szCs w:val="24"/>
          <w:lang w:eastAsia="pt-BR"/>
        </w:rPr>
        <w:t>, impacto na deambulação, viabilidade de reabilitação aos 60 anos). Evite provas frágeis (e.g., atestados genéricos).</w:t>
      </w:r>
    </w:p>
    <w:p w:rsidR="001F5FD1" w:rsidRPr="001F5FD1" w:rsidRDefault="001F5FD1" w:rsidP="001F5FD1">
      <w:pPr>
        <w:spacing w:before="100" w:beforeAutospacing="1" w:after="100" w:afterAutospacing="1" w:line="240" w:lineRule="auto"/>
        <w:rPr>
          <w:rFonts w:eastAsia="Times New Roman" w:cs="Times New Roman"/>
          <w:sz w:val="24"/>
          <w:szCs w:val="24"/>
          <w:lang w:eastAsia="pt-BR"/>
        </w:rPr>
      </w:pPr>
      <w:r w:rsidRPr="001F5FD1">
        <w:rPr>
          <w:rFonts w:eastAsia="Times New Roman" w:cs="Times New Roman"/>
          <w:sz w:val="24"/>
          <w:szCs w:val="24"/>
          <w:lang w:eastAsia="pt-BR"/>
        </w:rPr>
        <w:t>Em conclusão, a tese principal tem bom potencial de êxito, especialmente com ênfase biopsicossocial, mas prepare contingências. Sugiro redigir petição administrativa imediata para conversão, com modelo baseado em IN 128/2022. Caso precise de minuta detalhada ou mais pesquisas, estou à disposição.</w:t>
      </w:r>
    </w:p>
    <w:p w:rsidR="0071640F" w:rsidRDefault="0071640F">
      <w:bookmarkStart w:id="0" w:name="_GoBack"/>
      <w:bookmarkEnd w:id="0"/>
    </w:p>
    <w:sectPr w:rsidR="0071640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7705B"/>
    <w:multiLevelType w:val="multilevel"/>
    <w:tmpl w:val="4C4A3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D35217"/>
    <w:multiLevelType w:val="multilevel"/>
    <w:tmpl w:val="2A1CE0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7B465D"/>
    <w:multiLevelType w:val="multilevel"/>
    <w:tmpl w:val="52D2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FD1"/>
    <w:rsid w:val="001F5FD1"/>
    <w:rsid w:val="0071640F"/>
    <w:rsid w:val="007D23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iolo"/>
    <w:qFormat/>
    <w:rsid w:val="007D23A2"/>
    <w:rPr>
      <w:rFonts w:ascii="Times New Roman" w:hAnsi="Times New Roman"/>
    </w:rPr>
  </w:style>
  <w:style w:type="paragraph" w:styleId="Ttulo3">
    <w:name w:val="heading 3"/>
    <w:basedOn w:val="Normal"/>
    <w:link w:val="Ttulo3Char"/>
    <w:uiPriority w:val="9"/>
    <w:qFormat/>
    <w:rsid w:val="001F5FD1"/>
    <w:pPr>
      <w:spacing w:before="100" w:beforeAutospacing="1" w:after="100" w:afterAutospacing="1" w:line="240" w:lineRule="auto"/>
      <w:outlineLvl w:val="2"/>
    </w:pPr>
    <w:rPr>
      <w:rFonts w:eastAsia="Times New Roman" w:cs="Times New Roman"/>
      <w:b/>
      <w:bCs/>
      <w:sz w:val="27"/>
      <w:szCs w:val="27"/>
      <w:lang w:eastAsia="pt-BR"/>
    </w:rPr>
  </w:style>
  <w:style w:type="paragraph" w:styleId="Ttulo4">
    <w:name w:val="heading 4"/>
    <w:basedOn w:val="Normal"/>
    <w:link w:val="Ttulo4Char"/>
    <w:uiPriority w:val="9"/>
    <w:qFormat/>
    <w:rsid w:val="001F5FD1"/>
    <w:pPr>
      <w:spacing w:before="100" w:beforeAutospacing="1" w:after="100" w:afterAutospacing="1" w:line="240" w:lineRule="auto"/>
      <w:outlineLvl w:val="3"/>
    </w:pPr>
    <w:rPr>
      <w:rFonts w:eastAsia="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1F5FD1"/>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1F5FD1"/>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1F5FD1"/>
    <w:pPr>
      <w:spacing w:before="100" w:beforeAutospacing="1" w:after="100" w:afterAutospacing="1" w:line="240" w:lineRule="auto"/>
    </w:pPr>
    <w:rPr>
      <w:rFonts w:eastAsia="Times New Roman" w:cs="Times New Roman"/>
      <w:sz w:val="24"/>
      <w:szCs w:val="24"/>
      <w:lang w:eastAsia="pt-BR"/>
    </w:rPr>
  </w:style>
  <w:style w:type="character" w:styleId="Forte">
    <w:name w:val="Strong"/>
    <w:basedOn w:val="Fontepargpadro"/>
    <w:uiPriority w:val="22"/>
    <w:qFormat/>
    <w:rsid w:val="001F5F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iolo"/>
    <w:qFormat/>
    <w:rsid w:val="007D23A2"/>
    <w:rPr>
      <w:rFonts w:ascii="Times New Roman" w:hAnsi="Times New Roman"/>
    </w:rPr>
  </w:style>
  <w:style w:type="paragraph" w:styleId="Ttulo3">
    <w:name w:val="heading 3"/>
    <w:basedOn w:val="Normal"/>
    <w:link w:val="Ttulo3Char"/>
    <w:uiPriority w:val="9"/>
    <w:qFormat/>
    <w:rsid w:val="001F5FD1"/>
    <w:pPr>
      <w:spacing w:before="100" w:beforeAutospacing="1" w:after="100" w:afterAutospacing="1" w:line="240" w:lineRule="auto"/>
      <w:outlineLvl w:val="2"/>
    </w:pPr>
    <w:rPr>
      <w:rFonts w:eastAsia="Times New Roman" w:cs="Times New Roman"/>
      <w:b/>
      <w:bCs/>
      <w:sz w:val="27"/>
      <w:szCs w:val="27"/>
      <w:lang w:eastAsia="pt-BR"/>
    </w:rPr>
  </w:style>
  <w:style w:type="paragraph" w:styleId="Ttulo4">
    <w:name w:val="heading 4"/>
    <w:basedOn w:val="Normal"/>
    <w:link w:val="Ttulo4Char"/>
    <w:uiPriority w:val="9"/>
    <w:qFormat/>
    <w:rsid w:val="001F5FD1"/>
    <w:pPr>
      <w:spacing w:before="100" w:beforeAutospacing="1" w:after="100" w:afterAutospacing="1" w:line="240" w:lineRule="auto"/>
      <w:outlineLvl w:val="3"/>
    </w:pPr>
    <w:rPr>
      <w:rFonts w:eastAsia="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1F5FD1"/>
    <w:rPr>
      <w:rFonts w:ascii="Times New Roman" w:eastAsia="Times New Roman" w:hAnsi="Times New Roman" w:cs="Times New Roman"/>
      <w:b/>
      <w:bCs/>
      <w:sz w:val="27"/>
      <w:szCs w:val="27"/>
      <w:lang w:eastAsia="pt-BR"/>
    </w:rPr>
  </w:style>
  <w:style w:type="character" w:customStyle="1" w:styleId="Ttulo4Char">
    <w:name w:val="Título 4 Char"/>
    <w:basedOn w:val="Fontepargpadro"/>
    <w:link w:val="Ttulo4"/>
    <w:uiPriority w:val="9"/>
    <w:rsid w:val="001F5FD1"/>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1F5FD1"/>
    <w:pPr>
      <w:spacing w:before="100" w:beforeAutospacing="1" w:after="100" w:afterAutospacing="1" w:line="240" w:lineRule="auto"/>
    </w:pPr>
    <w:rPr>
      <w:rFonts w:eastAsia="Times New Roman" w:cs="Times New Roman"/>
      <w:sz w:val="24"/>
      <w:szCs w:val="24"/>
      <w:lang w:eastAsia="pt-BR"/>
    </w:rPr>
  </w:style>
  <w:style w:type="character" w:styleId="Forte">
    <w:name w:val="Strong"/>
    <w:basedOn w:val="Fontepargpadro"/>
    <w:uiPriority w:val="22"/>
    <w:qFormat/>
    <w:rsid w:val="001F5F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05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1332</Words>
  <Characters>7198</Characters>
  <Application>Microsoft Office Word</Application>
  <DocSecurity>0</DocSecurity>
  <Lines>59</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Rogério Silva</dc:creator>
  <cp:lastModifiedBy>Rogério Silva</cp:lastModifiedBy>
  <cp:revision>1</cp:revision>
  <dcterms:created xsi:type="dcterms:W3CDTF">2026-02-17T14:43:00Z</dcterms:created>
  <dcterms:modified xsi:type="dcterms:W3CDTF">2026-02-17T14:43:00Z</dcterms:modified>
</cp:coreProperties>
</file>